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A36A5" w14:textId="77777777" w:rsidR="00112744" w:rsidRDefault="00112744" w:rsidP="00112744">
      <w:pPr>
        <w:jc w:val="center"/>
        <w:rPr>
          <w:rFonts w:ascii="Times New Roman" w:eastAsia="方正小标宋简体" w:hAnsi="Times New Roman"/>
          <w:sz w:val="32"/>
          <w:szCs w:val="44"/>
        </w:rPr>
      </w:pPr>
      <w:r>
        <w:rPr>
          <w:rFonts w:ascii="Times New Roman" w:eastAsia="方正小标宋简体" w:hAnsi="Times New Roman" w:hint="eastAsia"/>
          <w:sz w:val="32"/>
          <w:szCs w:val="44"/>
        </w:rPr>
        <w:t>教学设计目录模板</w:t>
      </w:r>
    </w:p>
    <w:p w14:paraId="1A9F312F" w14:textId="77777777" w:rsidR="00112744" w:rsidRDefault="00112744" w:rsidP="00112744">
      <w:pPr>
        <w:adjustRightInd w:val="0"/>
        <w:snapToGrid w:val="0"/>
        <w:spacing w:line="560" w:lineRule="exact"/>
        <w:jc w:val="center"/>
        <w:outlineLvl w:val="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（仅供参考）</w:t>
      </w:r>
    </w:p>
    <w:p w14:paraId="682E985C" w14:textId="77777777" w:rsidR="00112744" w:rsidRDefault="00112744" w:rsidP="00112744">
      <w:pPr>
        <w:adjustRightInd w:val="0"/>
        <w:snapToGrid w:val="0"/>
        <w:spacing w:line="560" w:lineRule="exact"/>
        <w:jc w:val="center"/>
        <w:outlineLvl w:val="0"/>
        <w:rPr>
          <w:rFonts w:ascii="楷体_GB2312" w:eastAsia="楷体_GB2312" w:hAnsi="Times New Roman"/>
          <w:sz w:val="32"/>
          <w:szCs w:val="32"/>
        </w:rPr>
      </w:pPr>
    </w:p>
    <w:p w14:paraId="5E97FBC7" w14:textId="77777777" w:rsidR="00112744" w:rsidRDefault="00112744" w:rsidP="00112744">
      <w:pPr>
        <w:widowControl/>
        <w:ind w:firstLine="561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《教育心理学》教学大纲中基本教学内容共</w:t>
      </w:r>
      <w:r>
        <w:rPr>
          <w:rFonts w:ascii="仿宋_GB2312" w:eastAsia="仿宋_GB2312" w:hint="eastAsia"/>
          <w:kern w:val="0"/>
          <w:sz w:val="28"/>
          <w:szCs w:val="28"/>
        </w:rPr>
        <w:t>25</w:t>
      </w:r>
      <w:r>
        <w:rPr>
          <w:rFonts w:ascii="仿宋_GB2312" w:eastAsia="仿宋_GB2312" w:hAnsi="宋体" w:hint="eastAsia"/>
          <w:kern w:val="0"/>
          <w:sz w:val="28"/>
          <w:szCs w:val="28"/>
        </w:rPr>
        <w:t>章，此次教学设计的</w:t>
      </w:r>
      <w:r>
        <w:rPr>
          <w:rFonts w:ascii="仿宋_GB2312" w:eastAsia="仿宋_GB2312" w:hint="eastAsia"/>
          <w:kern w:val="0"/>
          <w:sz w:val="28"/>
          <w:szCs w:val="28"/>
        </w:rPr>
        <w:t>10</w:t>
      </w:r>
      <w:r>
        <w:rPr>
          <w:rFonts w:ascii="仿宋_GB2312" w:eastAsia="仿宋_GB2312" w:hAnsi="宋体" w:hint="eastAsia"/>
          <w:kern w:val="0"/>
          <w:sz w:val="28"/>
          <w:szCs w:val="28"/>
        </w:rPr>
        <w:t>个节段选自第</w:t>
      </w:r>
      <w:r>
        <w:rPr>
          <w:rFonts w:ascii="仿宋_GB2312" w:eastAsia="仿宋_GB2312" w:hint="eastAsia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kern w:val="0"/>
          <w:sz w:val="28"/>
          <w:szCs w:val="28"/>
        </w:rPr>
        <w:t>、6、</w:t>
      </w:r>
      <w:r>
        <w:rPr>
          <w:rFonts w:ascii="仿宋_GB2312" w:eastAsia="仿宋_GB2312" w:hint="eastAsia"/>
          <w:kern w:val="0"/>
          <w:sz w:val="28"/>
          <w:szCs w:val="28"/>
        </w:rPr>
        <w:t>7</w:t>
      </w:r>
      <w:r>
        <w:rPr>
          <w:rFonts w:ascii="仿宋_GB2312" w:eastAsia="仿宋_GB2312" w:hAnsi="宋体" w:hint="eastAsia"/>
          <w:kern w:val="0"/>
          <w:sz w:val="28"/>
          <w:szCs w:val="28"/>
        </w:rPr>
        <w:t>、8、</w:t>
      </w:r>
      <w:r>
        <w:rPr>
          <w:rFonts w:ascii="仿宋_GB2312" w:eastAsia="仿宋_GB2312" w:hint="eastAsia"/>
          <w:kern w:val="0"/>
          <w:sz w:val="28"/>
          <w:szCs w:val="28"/>
        </w:rPr>
        <w:t>9</w:t>
      </w:r>
      <w:r>
        <w:rPr>
          <w:rFonts w:ascii="仿宋_GB2312" w:eastAsia="仿宋_GB2312" w:hAnsi="宋体" w:hint="eastAsia"/>
          <w:kern w:val="0"/>
          <w:sz w:val="28"/>
          <w:szCs w:val="28"/>
        </w:rPr>
        <w:t>和10章。</w:t>
      </w:r>
    </w:p>
    <w:p w14:paraId="07A2F2E3" w14:textId="77777777" w:rsidR="00112744" w:rsidRDefault="00112744" w:rsidP="00112744">
      <w:pPr>
        <w:widowControl/>
        <w:tabs>
          <w:tab w:val="right" w:leader="dot" w:pos="8532"/>
          <w:tab w:val="left" w:leader="dot" w:pos="12008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1.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>斯金纳的经典实验及行为分类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ab/>
      </w:r>
      <w:r>
        <w:rPr>
          <w:rFonts w:ascii="仿宋_GB2312" w:eastAsia="仿宋_GB2312" w:hint="eastAsia"/>
          <w:bCs/>
          <w:kern w:val="0"/>
          <w:sz w:val="28"/>
          <w:szCs w:val="28"/>
        </w:rPr>
        <w:t>1</w:t>
      </w:r>
    </w:p>
    <w:p w14:paraId="114CB008" w14:textId="77777777" w:rsidR="00112744" w:rsidRDefault="00112744" w:rsidP="00112744">
      <w:pPr>
        <w:widowControl/>
        <w:ind w:firstLineChars="113" w:firstLine="316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选自第五章：学习的联结理论</w:t>
      </w:r>
      <w:r>
        <w:rPr>
          <w:rFonts w:ascii="仿宋_GB2312" w:eastAsia="仿宋_GB2312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第六节：斯金纳的操作性条件作用说</w:t>
      </w:r>
    </w:p>
    <w:p w14:paraId="4609D3E9" w14:textId="77777777" w:rsidR="00112744" w:rsidRDefault="00112744" w:rsidP="00112744"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2.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>格式塔学派的经典实验</w:t>
      </w:r>
      <w:r>
        <w:rPr>
          <w:rFonts w:ascii="仿宋_GB2312" w:eastAsia="仿宋_GB2312" w:hAnsi="宋体" w:hint="eastAsia"/>
          <w:bCs/>
          <w:spacing w:val="-32"/>
          <w:kern w:val="0"/>
          <w:sz w:val="28"/>
          <w:szCs w:val="28"/>
        </w:rPr>
        <w:tab/>
      </w:r>
      <w:r>
        <w:rPr>
          <w:rFonts w:ascii="仿宋_GB2312" w:eastAsia="仿宋_GB2312" w:hint="eastAsia"/>
          <w:bCs/>
          <w:kern w:val="0"/>
          <w:sz w:val="28"/>
          <w:szCs w:val="28"/>
        </w:rPr>
        <w:t>4</w:t>
      </w:r>
    </w:p>
    <w:p w14:paraId="0213638C" w14:textId="77777777" w:rsidR="00112744" w:rsidRDefault="00112744" w:rsidP="00112744">
      <w:pPr>
        <w:widowControl/>
        <w:ind w:firstLineChars="100" w:firstLine="28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选自第六章：学习的认知理论</w:t>
      </w:r>
      <w:r>
        <w:rPr>
          <w:rFonts w:ascii="仿宋_GB2312" w:eastAsia="仿宋_GB2312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第一节：格式塔学派的完形——顿悟说</w:t>
      </w:r>
    </w:p>
    <w:p w14:paraId="3CDE936E" w14:textId="77777777" w:rsidR="00112744" w:rsidRDefault="00112744" w:rsidP="00112744"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3.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>学习的信息加工模式</w:t>
      </w:r>
      <w:r>
        <w:rPr>
          <w:rFonts w:ascii="仿宋_GB2312" w:eastAsia="仿宋_GB2312" w:hAnsi="宋体" w:hint="eastAsia"/>
          <w:bCs/>
          <w:spacing w:val="-32"/>
          <w:kern w:val="0"/>
          <w:sz w:val="28"/>
          <w:szCs w:val="28"/>
        </w:rPr>
        <w:tab/>
      </w:r>
      <w:r>
        <w:rPr>
          <w:rFonts w:ascii="仿宋_GB2312" w:eastAsia="仿宋_GB2312" w:hint="eastAsia"/>
          <w:bCs/>
          <w:kern w:val="0"/>
          <w:sz w:val="28"/>
          <w:szCs w:val="28"/>
        </w:rPr>
        <w:t>8</w:t>
      </w:r>
    </w:p>
    <w:p w14:paraId="41CAA4D3" w14:textId="77777777" w:rsidR="00112744" w:rsidRDefault="00112744" w:rsidP="00112744">
      <w:pPr>
        <w:widowControl/>
        <w:ind w:firstLineChars="100" w:firstLine="28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选自第七章：学习的联结——认知理论</w:t>
      </w:r>
      <w:r>
        <w:rPr>
          <w:rFonts w:ascii="仿宋_GB2312" w:eastAsia="仿宋_GB2312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第二节：加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涅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的信息加工学习理论</w:t>
      </w:r>
    </w:p>
    <w:p w14:paraId="16221689" w14:textId="77777777" w:rsidR="00112744" w:rsidRDefault="00112744" w:rsidP="00112744"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4.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>班杜拉的经典实验</w:t>
      </w:r>
      <w:r>
        <w:rPr>
          <w:rFonts w:ascii="仿宋_GB2312" w:eastAsia="仿宋_GB2312" w:hAnsi="宋体" w:hint="eastAsia"/>
          <w:bCs/>
          <w:spacing w:val="-34"/>
          <w:kern w:val="0"/>
          <w:sz w:val="28"/>
          <w:szCs w:val="28"/>
        </w:rPr>
        <w:tab/>
      </w:r>
      <w:r>
        <w:rPr>
          <w:rFonts w:ascii="仿宋_GB2312" w:eastAsia="仿宋_GB2312" w:hint="eastAsia"/>
          <w:bCs/>
          <w:kern w:val="0"/>
          <w:sz w:val="28"/>
          <w:szCs w:val="28"/>
        </w:rPr>
        <w:t>12</w:t>
      </w:r>
    </w:p>
    <w:p w14:paraId="34C73E1E" w14:textId="77777777" w:rsidR="00112744" w:rsidRDefault="00112744" w:rsidP="00112744">
      <w:pPr>
        <w:widowControl/>
        <w:ind w:firstLineChars="100" w:firstLine="28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选自第七章：学习的联结——认知理论</w:t>
      </w:r>
      <w:r>
        <w:rPr>
          <w:rFonts w:ascii="仿宋_GB2312" w:eastAsia="仿宋_GB2312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第三节：班杜拉的观察学习理论</w:t>
      </w:r>
    </w:p>
    <w:p w14:paraId="5AA6CF27" w14:textId="77777777" w:rsidR="00112744" w:rsidRDefault="00112744" w:rsidP="00112744"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5.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>当事人中心疗法</w:t>
      </w:r>
      <w:r>
        <w:rPr>
          <w:rFonts w:ascii="仿宋_GB2312" w:eastAsia="仿宋_GB2312" w:hAnsi="宋体" w:hint="eastAsia"/>
          <w:bCs/>
          <w:spacing w:val="-34"/>
          <w:kern w:val="0"/>
          <w:sz w:val="28"/>
          <w:szCs w:val="28"/>
        </w:rPr>
        <w:tab/>
        <w:t>15</w:t>
      </w:r>
    </w:p>
    <w:p w14:paraId="4C65E53B" w14:textId="77777777" w:rsidR="00112744" w:rsidRDefault="00112744" w:rsidP="00112744">
      <w:pPr>
        <w:widowControl/>
        <w:ind w:firstLineChars="100" w:firstLine="28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选自第八章：人本主义学习理论</w:t>
      </w:r>
      <w:r>
        <w:rPr>
          <w:rFonts w:ascii="仿宋_GB2312" w:eastAsia="仿宋_GB2312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第二节：人本主义学习理论的心理基础</w:t>
      </w:r>
    </w:p>
    <w:p w14:paraId="7C17EF02" w14:textId="77777777" w:rsidR="00112744" w:rsidRDefault="00112744" w:rsidP="00112744"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6.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>学生中心的教学观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ab/>
      </w:r>
      <w:r>
        <w:rPr>
          <w:rFonts w:ascii="仿宋_GB2312" w:eastAsia="仿宋_GB2312" w:hint="eastAsia"/>
          <w:bCs/>
          <w:kern w:val="0"/>
          <w:sz w:val="28"/>
          <w:szCs w:val="28"/>
        </w:rPr>
        <w:t>18</w:t>
      </w:r>
    </w:p>
    <w:p w14:paraId="3D39131E" w14:textId="77777777" w:rsidR="00112744" w:rsidRDefault="00112744" w:rsidP="00112744">
      <w:pPr>
        <w:widowControl/>
        <w:ind w:firstLineChars="100" w:firstLine="28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选自第八章：人本主义学习理论</w:t>
      </w:r>
      <w:r>
        <w:rPr>
          <w:rFonts w:ascii="仿宋_GB2312" w:eastAsia="仿宋_GB2312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第三节：人本主义学习理论的教育主张</w:t>
      </w:r>
    </w:p>
    <w:p w14:paraId="519F353F" w14:textId="77777777" w:rsidR="00112744" w:rsidRDefault="00112744" w:rsidP="00112744"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7.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>生成学习理论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ab/>
      </w:r>
      <w:r>
        <w:rPr>
          <w:rFonts w:ascii="仿宋_GB2312" w:eastAsia="仿宋_GB2312" w:hint="eastAsia"/>
          <w:bCs/>
          <w:kern w:val="0"/>
          <w:sz w:val="28"/>
          <w:szCs w:val="28"/>
        </w:rPr>
        <w:t>21</w:t>
      </w:r>
    </w:p>
    <w:p w14:paraId="63CA9970" w14:textId="77777777" w:rsidR="00112744" w:rsidRDefault="00112744" w:rsidP="00112744">
      <w:pPr>
        <w:widowControl/>
        <w:ind w:firstLineChars="100" w:firstLine="28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选自第九章：建构主义学习理论</w:t>
      </w:r>
      <w:r>
        <w:rPr>
          <w:rFonts w:ascii="仿宋_GB2312" w:eastAsia="仿宋_GB2312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第三节：认知建构主义学习理论</w:t>
      </w:r>
    </w:p>
    <w:p w14:paraId="6E6D3893" w14:textId="77777777" w:rsidR="00112744" w:rsidRDefault="00112744" w:rsidP="00112744"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8.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>支架式教学：文化内化与活动理论的应用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ab/>
      </w:r>
      <w:r>
        <w:rPr>
          <w:rFonts w:ascii="仿宋_GB2312" w:eastAsia="仿宋_GB2312" w:hint="eastAsia"/>
          <w:bCs/>
          <w:kern w:val="0"/>
          <w:sz w:val="28"/>
          <w:szCs w:val="28"/>
        </w:rPr>
        <w:t>25</w:t>
      </w:r>
    </w:p>
    <w:p w14:paraId="6F2045E7" w14:textId="77777777" w:rsidR="00112744" w:rsidRDefault="00112744" w:rsidP="00112744">
      <w:pPr>
        <w:widowControl/>
        <w:ind w:firstLineChars="100" w:firstLine="28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选自第九章：建构主义学习理论</w:t>
      </w:r>
      <w:r>
        <w:rPr>
          <w:rFonts w:ascii="仿宋_GB2312" w:eastAsia="仿宋_GB2312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第四节：社会建构主义学习理论</w:t>
      </w:r>
    </w:p>
    <w:p w14:paraId="44269B57" w14:textId="77777777" w:rsidR="00112744" w:rsidRDefault="00112744" w:rsidP="00112744"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9.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>学习的含义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ab/>
      </w:r>
      <w:r>
        <w:rPr>
          <w:rFonts w:ascii="仿宋_GB2312" w:eastAsia="仿宋_GB2312" w:hint="eastAsia"/>
          <w:bCs/>
          <w:kern w:val="0"/>
          <w:sz w:val="28"/>
          <w:szCs w:val="28"/>
        </w:rPr>
        <w:t>28</w:t>
      </w:r>
    </w:p>
    <w:p w14:paraId="18222C27" w14:textId="77777777" w:rsidR="00112744" w:rsidRDefault="00112744" w:rsidP="00112744">
      <w:pPr>
        <w:widowControl/>
        <w:ind w:firstLineChars="100" w:firstLine="28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选自第十章：学习的含义、机制与类型</w:t>
      </w:r>
      <w:r>
        <w:rPr>
          <w:rFonts w:ascii="仿宋_GB2312" w:eastAsia="仿宋_GB2312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第一节：学习的含义与作用</w:t>
      </w:r>
    </w:p>
    <w:p w14:paraId="72049BF2" w14:textId="77777777" w:rsidR="00112744" w:rsidRDefault="00112744" w:rsidP="00112744"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10.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>中国古代的学习过程观点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ab/>
      </w:r>
      <w:r>
        <w:rPr>
          <w:rFonts w:ascii="仿宋_GB2312" w:eastAsia="仿宋_GB2312" w:hint="eastAsia"/>
          <w:bCs/>
          <w:kern w:val="0"/>
          <w:sz w:val="28"/>
          <w:szCs w:val="28"/>
        </w:rPr>
        <w:t>31</w:t>
      </w:r>
    </w:p>
    <w:p w14:paraId="35DF9391" w14:textId="77777777" w:rsidR="00112744" w:rsidRDefault="00112744" w:rsidP="00112744">
      <w:pPr>
        <w:widowControl/>
        <w:ind w:firstLineChars="100" w:firstLine="28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选自第十章：学习的含义、机制与类型</w:t>
      </w:r>
      <w:r>
        <w:rPr>
          <w:rFonts w:ascii="仿宋_GB2312" w:eastAsia="仿宋_GB2312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第二节：学习的内在机制</w:t>
      </w:r>
    </w:p>
    <w:p w14:paraId="2A4A93ED" w14:textId="77777777" w:rsidR="00927445" w:rsidRPr="00112744" w:rsidRDefault="00927445"/>
    <w:sectPr w:rsidR="00927445" w:rsidRPr="0011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44"/>
    <w:rsid w:val="000C253B"/>
    <w:rsid w:val="00112744"/>
    <w:rsid w:val="00303528"/>
    <w:rsid w:val="009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0F6E"/>
  <w15:chartTrackingRefBased/>
  <w15:docId w15:val="{20A4F4C1-8C54-4BAE-8820-D080BC0F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744"/>
    <w:pPr>
      <w:widowControl w:val="0"/>
      <w:jc w:val="both"/>
    </w:pPr>
    <w:rPr>
      <w:rFonts w:ascii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邱洋</dc:creator>
  <cp:keywords/>
  <dc:description/>
  <cp:lastModifiedBy>邱洋</cp:lastModifiedBy>
  <cp:revision>1</cp:revision>
  <dcterms:created xsi:type="dcterms:W3CDTF">2020-05-06T08:36:00Z</dcterms:created>
  <dcterms:modified xsi:type="dcterms:W3CDTF">2020-05-06T08:36:00Z</dcterms:modified>
</cp:coreProperties>
</file>